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3" w:rsidRDefault="00224CD3">
      <w:pPr>
        <w:pStyle w:val="ConsPlusTitle"/>
        <w:jc w:val="center"/>
        <w:outlineLvl w:val="0"/>
      </w:pPr>
      <w:r>
        <w:t>ЧУЧКОВСКАЯ РАЙОННАЯ ДУМА РЯЗАНСКОЙ ОБЛАСТИ</w:t>
      </w:r>
    </w:p>
    <w:p w:rsidR="00224CD3" w:rsidRDefault="00224CD3">
      <w:pPr>
        <w:pStyle w:val="ConsPlusTitle"/>
        <w:jc w:val="center"/>
      </w:pPr>
    </w:p>
    <w:p w:rsidR="00224CD3" w:rsidRDefault="00224CD3">
      <w:pPr>
        <w:pStyle w:val="ConsPlusTitle"/>
        <w:jc w:val="center"/>
      </w:pPr>
      <w:r>
        <w:t>РЕШЕНИЕ</w:t>
      </w:r>
    </w:p>
    <w:p w:rsidR="00224CD3" w:rsidRDefault="00224CD3">
      <w:pPr>
        <w:pStyle w:val="ConsPlusTitle"/>
        <w:jc w:val="center"/>
      </w:pPr>
      <w:r>
        <w:t xml:space="preserve">от 27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163</w:t>
      </w:r>
    </w:p>
    <w:p w:rsidR="00224CD3" w:rsidRDefault="00224CD3">
      <w:pPr>
        <w:pStyle w:val="ConsPlusTitle"/>
        <w:jc w:val="center"/>
      </w:pPr>
    </w:p>
    <w:p w:rsidR="00224CD3" w:rsidRDefault="00224CD3">
      <w:pPr>
        <w:pStyle w:val="ConsPlusTitle"/>
        <w:jc w:val="center"/>
      </w:pPr>
      <w:r>
        <w:t>О КОРРЕКТИРУЮЩЕМ КОЭФФИЦИЕНТЕ БАЗОВОЙ ДОХОДНОСТИ К2 ДЛЯ</w:t>
      </w:r>
    </w:p>
    <w:p w:rsidR="00224CD3" w:rsidRDefault="00224CD3">
      <w:pPr>
        <w:pStyle w:val="ConsPlusTitle"/>
        <w:jc w:val="center"/>
      </w:pPr>
      <w:r>
        <w:t>ИСЧИСЛЕНИЯ СУММЫ ЕДИНОГО НАЛОГА НА ВМЕНЕННЫЙ ДОХОД ДЛЯ</w:t>
      </w:r>
    </w:p>
    <w:p w:rsidR="00224CD3" w:rsidRDefault="00224CD3">
      <w:pPr>
        <w:pStyle w:val="ConsPlusTitle"/>
        <w:jc w:val="center"/>
      </w:pPr>
      <w:r>
        <w:t>ОТДЕЛЬНЫХ ВИДОВ ДЕЯТЕЛЬНОСТИ НА ТЕРРИТОРИИ МУНИЦИПАЛЬНОГО</w:t>
      </w:r>
    </w:p>
    <w:p w:rsidR="00224CD3" w:rsidRDefault="00224CD3">
      <w:pPr>
        <w:pStyle w:val="ConsPlusTitle"/>
        <w:jc w:val="center"/>
      </w:pPr>
      <w:r>
        <w:t>ОБРАЗОВАНИЯ - ЧУЧКОВСКИЙ МУНИЦИПАЛЬНЫЙ РАЙОН РЯЗАНСКОЙ</w:t>
      </w:r>
    </w:p>
    <w:p w:rsidR="00224CD3" w:rsidRDefault="00224CD3">
      <w:pPr>
        <w:pStyle w:val="ConsPlusTitle"/>
        <w:jc w:val="center"/>
      </w:pPr>
      <w:r>
        <w:t>ОБЛАСТИ</w:t>
      </w:r>
    </w:p>
    <w:p w:rsidR="00224CD3" w:rsidRDefault="00224CD3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24CD3" w:rsidRPr="00665636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24CD3" w:rsidRDefault="00224C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4CD3" w:rsidRDefault="00224CD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Чучковской районной Думы Рязанской области</w:t>
            </w:r>
          </w:p>
          <w:p w:rsidR="00224CD3" w:rsidRDefault="00224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4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10.03.2017 </w:t>
            </w:r>
            <w:hyperlink r:id="rId5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24CD3" w:rsidRDefault="00224CD3">
      <w:pPr>
        <w:pStyle w:val="ConsPlusNormal"/>
        <w:jc w:val="center"/>
      </w:pPr>
    </w:p>
    <w:p w:rsidR="00224CD3" w:rsidRDefault="00224CD3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(в редакции Федерального закона от 24 июля 2002 года N 104-ФЗ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- Чучковский муниципальный район, на основании </w:t>
      </w:r>
      <w:hyperlink r:id="rId9" w:history="1">
        <w:r>
          <w:rPr>
            <w:color w:val="0000FF"/>
          </w:rPr>
          <w:t>решения</w:t>
        </w:r>
      </w:hyperlink>
      <w:r>
        <w:t xml:space="preserve"> Чучковской районной Думы от 20.10.2005 N 78 "О системе налогообложения в виде единого налога на вмененный доход для отдельных видов деятельности на территории муниципального образования - Чучковский район Рязанской области" Чучковская районная Дума решила: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1. Установить значение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224CD3" w:rsidRDefault="00224CD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Чучковской районной Думы Рязанской области от 17.04.2015 N 295)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 xml:space="preserve">- оказания бытовых услуг; их групп, подгрупп, видов и (или) отдельных бытовых услуг, классифицируемых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ветеринарных услуг;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по ремонту, техническому обслуживанию и мойке автотранспортных средств;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по хранению автотранспортных средств на платных стоянках;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 xml:space="preserve">- розничной торговли, осуществляемой через магазины и павильоны с площадью торгового зала не более </w:t>
      </w:r>
      <w:smartTag w:uri="urn:schemas-microsoft-com:office:smarttags" w:element="metricconverter">
        <w:smartTagPr>
          <w:attr w:name="ProductID" w:val="150 кв. м"/>
        </w:smartTagPr>
        <w:r>
          <w:t>150 кв. м</w:t>
        </w:r>
      </w:smartTag>
      <w:r>
        <w:t xml:space="preserve"> по каждому объекту организации торговли;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розничной торговли, осуществляемой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распространения и (или) размещения наружной рекламы;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распространения и (или) размещения рекламы на автобусах любых типов, легковых и грузовых автомобилях, прицепах, полуприцепах и прицепах-роспусках, речных судах;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 (прилавков, палаток, ларьков, контейнеров, боксов и других объектов), а также объектах организации общественного питания, не имеющих зала обслуживания посетителей;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224CD3" w:rsidRDefault="00224CD3">
      <w:pPr>
        <w:pStyle w:val="ConsPlusNormal"/>
        <w:spacing w:before="220"/>
        <w:ind w:firstLine="540"/>
        <w:jc w:val="both"/>
      </w:pPr>
      <w:bookmarkStart w:id="0" w:name="P32"/>
      <w:bookmarkEnd w:id="0"/>
      <w:r>
        <w:t>2. Налогоплательщиками признаются организации и индивидуальные предприниматели, осуществляющие на территории муниципального образования предпринимательскую деятельность, облагаемую единым налогом.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3. Объектом налогообложения для применения единого налога признается вмененный доход налогоплательщика.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4.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 xml:space="preserve">5. Установить значение корректирующего коэффициента базовой доходности К2 согласно </w:t>
      </w:r>
      <w:hyperlink w:anchor="P55" w:history="1">
        <w:r>
          <w:rPr>
            <w:color w:val="0000FF"/>
          </w:rPr>
          <w:t>Приложению N 1</w:t>
        </w:r>
      </w:hyperlink>
      <w:r>
        <w:t>.</w:t>
      </w:r>
    </w:p>
    <w:p w:rsidR="00224CD3" w:rsidRDefault="00224CD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Чучковской районной Думы Рязанской области от 17.04.2015 N 295)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 xml:space="preserve">6. Значения корректирующего коэффициента базовой доходности К2 увеличиваются в два раза, но не более единицы, для субъектов предпринимательской деятельности (за исключением районного базового предприятия бытового обслуживания населения), являющихся плательщиками ЕНВД для отдельных видов деятельности, перечисленных в </w:t>
      </w:r>
      <w:hyperlink w:anchor="P32" w:history="1">
        <w:r>
          <w:rPr>
            <w:color w:val="0000FF"/>
          </w:rPr>
          <w:t>пункте 2</w:t>
        </w:r>
      </w:hyperlink>
      <w:r>
        <w:t xml:space="preserve"> настоящего решения, если размер начисленной среднемесячной заработной платы на одного работника ниже величины прожиточного минимума для трудоспособного населения, установленного Правительством Рязанской области, за предшествующий налоговый период (квартал).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Среднемесячная заработная плата на одного работника исчисляется исходя из базы для начисления страховых взносов и численности работников, определяемой налогоплательщиком за отчетный (расчетный) период на основании деклараций (расчетов) по страховым взносам на обязательное пенсионное страхование лиц, производящих выплаты физическим лицам.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7. Разрешить автомагазину самостоятельно корректировать коэффициент базовой доходности К2 в зависимости от местоположения населенных пунктов и от фактически отработанного времени.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 xml:space="preserve">8. Установить налоговый период, ставку, порядок и сроки уплаты единого налога в соответствии со </w:t>
      </w:r>
      <w:hyperlink r:id="rId13" w:history="1">
        <w:r>
          <w:rPr>
            <w:color w:val="0000FF"/>
          </w:rPr>
          <w:t>статьями 346.30</w:t>
        </w:r>
      </w:hyperlink>
      <w:r>
        <w:t xml:space="preserve">, </w:t>
      </w:r>
      <w:hyperlink r:id="rId14" w:history="1">
        <w:r>
          <w:rPr>
            <w:color w:val="0000FF"/>
          </w:rPr>
          <w:t>346.31</w:t>
        </w:r>
      </w:hyperlink>
      <w:r>
        <w:t xml:space="preserve">, </w:t>
      </w:r>
      <w:hyperlink r:id="rId15" w:history="1">
        <w:r>
          <w:rPr>
            <w:color w:val="0000FF"/>
          </w:rPr>
          <w:t>346.32</w:t>
        </w:r>
      </w:hyperlink>
      <w:r>
        <w:t xml:space="preserve"> Налогового кодекса Российской Федерации.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9. Опубликовать настоящее решение в Информационном бюллетене.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>10. Настоящее решение вступает в силу с 1 января 2010 года.</w:t>
      </w:r>
    </w:p>
    <w:p w:rsidR="00224CD3" w:rsidRDefault="00224CD3">
      <w:pPr>
        <w:pStyle w:val="ConsPlusNormal"/>
        <w:spacing w:before="220"/>
        <w:ind w:firstLine="540"/>
        <w:jc w:val="both"/>
      </w:pPr>
      <w:r>
        <w:t xml:space="preserve">11. С момента вступления в силу настоящего решения признать утратившими силу решения Чучковской районной Думы от 22.10.2008 </w:t>
      </w:r>
      <w:hyperlink r:id="rId16" w:history="1">
        <w:r>
          <w:rPr>
            <w:color w:val="0000FF"/>
          </w:rPr>
          <w:t>N 57</w:t>
        </w:r>
      </w:hyperlink>
      <w:r>
        <w:t xml:space="preserve">, от 23.12.2008 </w:t>
      </w:r>
      <w:hyperlink r:id="rId17" w:history="1">
        <w:r>
          <w:rPr>
            <w:color w:val="0000FF"/>
          </w:rPr>
          <w:t>N 88</w:t>
        </w:r>
      </w:hyperlink>
      <w:r>
        <w:t>.</w:t>
      </w:r>
    </w:p>
    <w:p w:rsidR="00224CD3" w:rsidRDefault="00224CD3">
      <w:pPr>
        <w:pStyle w:val="ConsPlusNormal"/>
        <w:ind w:firstLine="540"/>
        <w:jc w:val="both"/>
      </w:pPr>
    </w:p>
    <w:p w:rsidR="00224CD3" w:rsidRDefault="00224CD3">
      <w:pPr>
        <w:pStyle w:val="ConsPlusNormal"/>
        <w:jc w:val="right"/>
      </w:pPr>
      <w:r>
        <w:t>Глава района</w:t>
      </w:r>
    </w:p>
    <w:p w:rsidR="00224CD3" w:rsidRDefault="00224CD3">
      <w:pPr>
        <w:pStyle w:val="ConsPlusNormal"/>
        <w:jc w:val="right"/>
      </w:pPr>
      <w:r>
        <w:t>А.А.ПЕТРИЩЕВ</w:t>
      </w:r>
    </w:p>
    <w:p w:rsidR="00224CD3" w:rsidRDefault="00224CD3">
      <w:pPr>
        <w:pStyle w:val="ConsPlusNormal"/>
        <w:ind w:firstLine="540"/>
        <w:jc w:val="both"/>
      </w:pPr>
    </w:p>
    <w:p w:rsidR="00224CD3" w:rsidRDefault="00224CD3">
      <w:pPr>
        <w:pStyle w:val="ConsPlusNormal"/>
        <w:jc w:val="right"/>
      </w:pPr>
      <w:r>
        <w:t>Председатель районной Думы</w:t>
      </w:r>
    </w:p>
    <w:p w:rsidR="00224CD3" w:rsidRDefault="00224CD3">
      <w:pPr>
        <w:pStyle w:val="ConsPlusNormal"/>
        <w:jc w:val="right"/>
      </w:pPr>
      <w:r>
        <w:t>В.С.ФЕДОРОВ</w:t>
      </w:r>
    </w:p>
    <w:p w:rsidR="00224CD3" w:rsidRDefault="00224CD3">
      <w:pPr>
        <w:pStyle w:val="ConsPlusNormal"/>
        <w:ind w:firstLine="540"/>
        <w:jc w:val="both"/>
      </w:pPr>
    </w:p>
    <w:p w:rsidR="00224CD3" w:rsidRDefault="00224CD3">
      <w:pPr>
        <w:pStyle w:val="ConsPlusNormal"/>
        <w:ind w:firstLine="540"/>
        <w:jc w:val="both"/>
      </w:pPr>
    </w:p>
    <w:p w:rsidR="00224CD3" w:rsidRPr="002601A7" w:rsidRDefault="00224CD3">
      <w:pPr>
        <w:rPr>
          <w:lang w:val="en-US"/>
        </w:rPr>
        <w:sectPr w:rsidR="00224CD3" w:rsidRPr="002601A7" w:rsidSect="002601A7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224CD3" w:rsidRPr="002601A7" w:rsidRDefault="00224CD3" w:rsidP="002601A7">
      <w:pPr>
        <w:pStyle w:val="ConsPlusNormal"/>
        <w:outlineLvl w:val="0"/>
        <w:rPr>
          <w:lang w:val="en-US"/>
        </w:rPr>
      </w:pPr>
      <w:bookmarkStart w:id="1" w:name="P55"/>
      <w:bookmarkStart w:id="2" w:name="_GoBack"/>
      <w:bookmarkEnd w:id="1"/>
      <w:bookmarkEnd w:id="2"/>
    </w:p>
    <w:sectPr w:rsidR="00224CD3" w:rsidRPr="002601A7" w:rsidSect="00CB57B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7B2"/>
    <w:rsid w:val="00106810"/>
    <w:rsid w:val="00224CD3"/>
    <w:rsid w:val="002601A7"/>
    <w:rsid w:val="005557B2"/>
    <w:rsid w:val="00665636"/>
    <w:rsid w:val="00814AE3"/>
    <w:rsid w:val="00844485"/>
    <w:rsid w:val="00881735"/>
    <w:rsid w:val="00CB57BA"/>
    <w:rsid w:val="00F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57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557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557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5557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557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557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557B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5557B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C1336ADFEE1C2EF11CA71EF99973E8D7BD94C758EC46CE701565287056DAB09CDB1B0CB7D6C8876C3333B64TDL" TargetMode="External"/><Relationship Id="rId13" Type="http://schemas.openxmlformats.org/officeDocument/2006/relationships/hyperlink" Target="consultantplus://offline/ref=91DC1336ADFEE1C2EF11D47CF9F5C9348C798643708DC93CB9575005D8556BFE498DB7E5883A698C67T4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DC1336ADFEE1C2EF11D47CF9F5C9348C788347748AC93CB9575005D8556BFE498DB7E58839608D67T4L" TargetMode="External"/><Relationship Id="rId12" Type="http://schemas.openxmlformats.org/officeDocument/2006/relationships/hyperlink" Target="consultantplus://offline/ref=91DC1336ADFEE1C2EF11CA71EF99973E8D7BD94C7682C762E703565287056DAB09CDB1B0CB7D6C8876C2323A64TBL" TargetMode="External"/><Relationship Id="rId17" Type="http://schemas.openxmlformats.org/officeDocument/2006/relationships/hyperlink" Target="consultantplus://offline/ref=91DC1336ADFEE1C2EF11CA71EF99973E8D7BD94C7288CB6CE3080B588F5C61A960T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DC1336ADFEE1C2EF11CA71EF99973E8D7BD94C7289C06FE4080B588F5C61A960T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DC1336ADFEE1C2EF11D47CF9F5C9348C798643708DC93CB9575005D8556BFE498DB7E5803866T4L" TargetMode="External"/><Relationship Id="rId11" Type="http://schemas.openxmlformats.org/officeDocument/2006/relationships/hyperlink" Target="consultantplus://offline/ref=91DC1336ADFEE1C2EF11D47CF9F5C9348F758F46728FC93CB9575005D865T5L" TargetMode="External"/><Relationship Id="rId5" Type="http://schemas.openxmlformats.org/officeDocument/2006/relationships/hyperlink" Target="consultantplus://offline/ref=91DC1336ADFEE1C2EF11CA71EF99973E8D7BD94C7588CA6EEC07565287056DAB09CDB1B0CB7D6C8876C2323A64T8L" TargetMode="External"/><Relationship Id="rId15" Type="http://schemas.openxmlformats.org/officeDocument/2006/relationships/hyperlink" Target="consultantplus://offline/ref=91DC1336ADFEE1C2EF11D47CF9F5C9348C798643708DC93CB9575005D8556BFE498DB7E5883A698C67T0L" TargetMode="External"/><Relationship Id="rId10" Type="http://schemas.openxmlformats.org/officeDocument/2006/relationships/hyperlink" Target="consultantplus://offline/ref=91DC1336ADFEE1C2EF11CA71EF99973E8D7BD94C7682C762E703565287056DAB09CDB1B0CB7D6C8876C2323A64TB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91DC1336ADFEE1C2EF11CA71EF99973E8D7BD94C7682C762E703565287056DAB09CDB1B0CB7D6C8876C2323A64T8L" TargetMode="External"/><Relationship Id="rId9" Type="http://schemas.openxmlformats.org/officeDocument/2006/relationships/hyperlink" Target="consultantplus://offline/ref=91DC1336ADFEE1C2EF11CA71EF99973E8D7BD94C748BC168E2080B588F5C61A90EC2EEA7CC34608976C23363TFL" TargetMode="External"/><Relationship Id="rId14" Type="http://schemas.openxmlformats.org/officeDocument/2006/relationships/hyperlink" Target="consultantplus://offline/ref=91DC1336ADFEE1C2EF11D47CF9F5C9348C798643708DC93CB9575005D8556BFE498DB7E5883A698C67T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1268</Words>
  <Characters>7233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2018-03-14T12:21:00Z</dcterms:created>
  <dcterms:modified xsi:type="dcterms:W3CDTF">2018-03-14T12:24:00Z</dcterms:modified>
</cp:coreProperties>
</file>